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923"/>
        </w:tabs>
        <w:ind w:right="-7"/>
        <w:outlineLvl w:val="0"/>
        <w:rPr>
          <w:rFonts w:hint="default" w:ascii="Arial" w:hAnsi="Arial" w:eastAsia="Arial Unicode MS" w:cs="Arial"/>
          <w:bCs/>
          <w:i/>
          <w:sz w:val="32"/>
          <w:highlight w:val="none"/>
          <w:lang w:val="en-US" w:eastAsia="zh-CN"/>
        </w:rPr>
      </w:pPr>
      <w:bookmarkStart w:id="0" w:name="OLE_LINK2"/>
      <w:bookmarkStart w:id="1" w:name="_Hlk19781073"/>
      <w:r>
        <w:rPr>
          <w:rFonts w:hint="default" w:ascii="Arial" w:hAnsi="Arial" w:eastAsia="Arial Unicode MS" w:cs="Arial"/>
          <w:bCs/>
          <w:sz w:val="24"/>
          <w:highlight w:val="none"/>
        </w:rPr>
        <w:t>3GPP T</w:t>
      </w:r>
      <w:bookmarkStart w:id="2" w:name="_Ref452454252"/>
      <w:bookmarkEnd w:id="2"/>
      <w:r>
        <w:rPr>
          <w:rFonts w:hint="default" w:ascii="Arial" w:hAnsi="Arial" w:eastAsia="Arial Unicode MS" w:cs="Arial"/>
          <w:bCs/>
          <w:sz w:val="24"/>
          <w:highlight w:val="none"/>
        </w:rPr>
        <w:t>SG-</w:t>
      </w:r>
      <w:r>
        <w:rPr>
          <w:rFonts w:hint="default" w:ascii="Arial" w:hAnsi="Arial" w:eastAsia="Arial Unicode MS" w:cs="Arial"/>
          <w:bCs/>
          <w:sz w:val="24"/>
          <w:szCs w:val="24"/>
          <w:highlight w:val="none"/>
        </w:rPr>
        <w:t xml:space="preserve">RAN </w:t>
      </w:r>
      <w:r>
        <w:rPr>
          <w:rFonts w:hint="default" w:ascii="Arial" w:hAnsi="Arial" w:eastAsia="Arial Unicode MS" w:cs="Arial"/>
          <w:sz w:val="24"/>
          <w:szCs w:val="24"/>
          <w:highlight w:val="none"/>
        </w:rPr>
        <w:t xml:space="preserve">WG3 Meeting </w:t>
      </w:r>
      <w:r>
        <w:rPr>
          <w:rFonts w:hint="default" w:ascii="Arial" w:hAnsi="Arial" w:eastAsia="Arial Unicode MS" w:cs="Arial"/>
          <w:sz w:val="24"/>
          <w:szCs w:val="24"/>
          <w:highlight w:val="none"/>
          <w:lang w:val="en-US"/>
        </w:rPr>
        <w:t>RAN3</w:t>
      </w:r>
      <w:r>
        <w:rPr>
          <w:rFonts w:hint="default" w:ascii="Arial" w:hAnsi="Arial" w:eastAsia="Arial Unicode MS" w:cs="Arial"/>
          <w:sz w:val="24"/>
          <w:szCs w:val="24"/>
          <w:highlight w:val="none"/>
        </w:rPr>
        <w:t>#</w:t>
      </w:r>
      <w:r>
        <w:rPr>
          <w:rFonts w:hint="default" w:ascii="Arial" w:hAnsi="Arial" w:eastAsia="Arial Unicode MS" w:cs="Arial"/>
          <w:sz w:val="24"/>
          <w:szCs w:val="24"/>
          <w:highlight w:val="none"/>
          <w:lang w:val="en-US"/>
        </w:rPr>
        <w:t>12</w:t>
      </w:r>
      <w:r>
        <w:rPr>
          <w:rFonts w:hint="eastAsia" w:eastAsia="Arial Unicode MS" w:cs="Arial"/>
          <w:sz w:val="24"/>
          <w:szCs w:val="24"/>
          <w:highlight w:val="none"/>
          <w:lang w:val="en-US" w:eastAsia="zh-CN"/>
        </w:rPr>
        <w:t>2</w:t>
      </w:r>
      <w:r>
        <w:rPr>
          <w:rFonts w:hint="default" w:ascii="Arial" w:hAnsi="Arial" w:eastAsia="Arial Unicode MS" w:cs="Arial"/>
          <w:bCs/>
          <w:sz w:val="24"/>
          <w:highlight w:val="none"/>
        </w:rPr>
        <w:tab/>
      </w:r>
      <w:r>
        <w:rPr>
          <w:rFonts w:hint="default" w:ascii="Arial" w:hAnsi="Arial" w:eastAsia="Arial Unicode MS" w:cs="Arial"/>
          <w:bCs/>
          <w:sz w:val="24"/>
          <w:highlight w:val="none"/>
          <w:lang w:eastAsia="ja-JP"/>
        </w:rPr>
        <w:t>R3-237682</w:t>
      </w:r>
    </w:p>
    <w:p>
      <w:pPr>
        <w:pStyle w:val="103"/>
        <w:outlineLvl w:val="0"/>
        <w:rPr>
          <w:rFonts w:hint="default" w:ascii="Arial" w:hAnsi="Arial" w:eastAsia="Arial Unicode MS" w:cs="Arial"/>
          <w:b/>
          <w:sz w:val="24"/>
          <w:lang w:val="en-US"/>
        </w:rPr>
      </w:pPr>
      <w:bookmarkStart w:id="3" w:name="_Hlk19781143"/>
      <w:r>
        <w:rPr>
          <w:rFonts w:hint="eastAsia" w:eastAsia="Arial Unicode MS" w:cs="Arial"/>
          <w:b/>
          <w:sz w:val="24"/>
          <w:lang w:val="en-US" w:eastAsia="zh-CN"/>
        </w:rPr>
        <w:t>Chicago</w:t>
      </w:r>
      <w:r>
        <w:rPr>
          <w:rFonts w:hint="default" w:ascii="Arial" w:hAnsi="Arial" w:eastAsia="Arial Unicode MS" w:cs="Arial"/>
          <w:b/>
          <w:sz w:val="24"/>
        </w:rPr>
        <w:t xml:space="preserve">, </w:t>
      </w:r>
      <w:r>
        <w:rPr>
          <w:rFonts w:hint="eastAsia" w:eastAsia="Arial Unicode MS" w:cs="Arial"/>
          <w:b/>
          <w:sz w:val="24"/>
          <w:lang w:val="en-US" w:eastAsia="zh-CN"/>
        </w:rPr>
        <w:t>US</w:t>
      </w:r>
      <w:r>
        <w:rPr>
          <w:rFonts w:hint="default" w:ascii="Arial" w:hAnsi="Arial" w:eastAsia="Arial Unicode MS" w:cs="Arial"/>
          <w:b/>
          <w:sz w:val="24"/>
        </w:rPr>
        <w:t xml:space="preserve">, </w:t>
      </w:r>
      <w:r>
        <w:rPr>
          <w:rFonts w:hint="eastAsia" w:eastAsia="Arial Unicode MS" w:cs="Arial"/>
          <w:b/>
          <w:sz w:val="24"/>
          <w:lang w:val="en-US" w:eastAsia="zh-CN"/>
        </w:rPr>
        <w:t>13</w:t>
      </w:r>
      <w:r>
        <w:rPr>
          <w:rFonts w:hint="default" w:ascii="Arial" w:hAnsi="Arial" w:eastAsia="Arial Unicode MS" w:cs="Arial"/>
          <w:b/>
          <w:sz w:val="24"/>
        </w:rPr>
        <w:t xml:space="preserve"> - 1</w:t>
      </w:r>
      <w:r>
        <w:rPr>
          <w:rFonts w:hint="eastAsia" w:eastAsia="Arial Unicode MS" w:cs="Arial"/>
          <w:b/>
          <w:sz w:val="24"/>
          <w:lang w:val="en-US" w:eastAsia="zh-CN"/>
        </w:rPr>
        <w:t>7 November</w:t>
      </w:r>
      <w:r>
        <w:rPr>
          <w:rFonts w:hint="default" w:ascii="Arial" w:hAnsi="Arial" w:eastAsia="Arial Unicode MS" w:cs="Arial"/>
          <w:b/>
          <w:sz w:val="24"/>
        </w:rPr>
        <w:t>, 2023</w:t>
      </w:r>
    </w:p>
    <w:bookmarkEnd w:id="0"/>
    <w:bookmarkEnd w:id="1"/>
    <w:bookmarkEnd w:id="3"/>
    <w:p>
      <w:pPr>
        <w:pStyle w:val="34"/>
        <w:rPr>
          <w:rFonts w:cs="Arial"/>
          <w:bCs/>
          <w:sz w:val="24"/>
          <w:lang w:eastAsia="ja-JP"/>
        </w:rPr>
      </w:pPr>
    </w:p>
    <w:p>
      <w:pPr>
        <w:pStyle w:val="106"/>
        <w:outlineLvl w:val="0"/>
        <w:rPr>
          <w:rFonts w:hint="default"/>
          <w:highlight w:val="none"/>
          <w:lang w:val="en-US" w:eastAsia="ja-JP"/>
        </w:rPr>
      </w:pPr>
      <w:r>
        <w:rPr>
          <w:highlight w:val="none"/>
        </w:rPr>
        <w:t>Agenda Item:</w:t>
      </w:r>
      <w:r>
        <w:rPr>
          <w:highlight w:val="none"/>
        </w:rPr>
        <w:tab/>
      </w:r>
      <w:r>
        <w:rPr>
          <w:rFonts w:hint="default"/>
          <w:highlight w:val="none"/>
          <w:lang w:val="en-US"/>
        </w:rPr>
        <w:t>9.1</w:t>
      </w:r>
      <w:bookmarkStart w:id="25" w:name="_GoBack"/>
      <w:bookmarkEnd w:id="25"/>
    </w:p>
    <w:p>
      <w:pPr>
        <w:pStyle w:val="106"/>
        <w:outlineLvl w:val="0"/>
        <w:rPr>
          <w:rFonts w:hint="default" w:eastAsia="宋体"/>
          <w:lang w:val="en-US" w:eastAsia="zh-CN"/>
        </w:rPr>
      </w:pPr>
      <w:r>
        <w:t>Source:</w:t>
      </w:r>
      <w:r>
        <w:tab/>
      </w:r>
      <w:r>
        <w:rPr>
          <w:rFonts w:hint="default"/>
          <w:lang w:val="en-US"/>
        </w:rPr>
        <w:t>ZTE, China Telecom, China Unicom</w:t>
      </w:r>
    </w:p>
    <w:p>
      <w:pPr>
        <w:pStyle w:val="106"/>
        <w:ind w:left="1985" w:hanging="1985"/>
        <w:outlineLvl w:val="0"/>
        <w:rPr>
          <w:rFonts w:hint="default"/>
          <w:lang w:val="en-US" w:eastAsia="ja-JP"/>
        </w:rPr>
      </w:pPr>
      <w:r>
        <w:t>Title:</w:t>
      </w:r>
      <w:r>
        <w:tab/>
      </w:r>
      <w:r>
        <w:rPr>
          <w:rFonts w:hint="default"/>
          <w:lang w:val="en-US"/>
        </w:rPr>
        <w:t>Further discussion on the presence of QoE Area Scope IE in LTE</w:t>
      </w:r>
    </w:p>
    <w:p>
      <w:pPr>
        <w:pStyle w:val="106"/>
        <w:outlineLvl w:val="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107"/>
        <w:rPr>
          <w:rFonts w:hint="default"/>
          <w:lang w:val="en-US"/>
        </w:rPr>
      </w:pPr>
      <w:r>
        <w:rPr>
          <w:rFonts w:hint="default"/>
          <w:lang w:val="en-US"/>
        </w:rPr>
        <w:t xml:space="preserve">Companies have discussed the issue on QoE Area Scope IE in RAN3#120. At the end of that meeting, the presence of the Area Scope IE of QoE has been corrected to optional in NGAP. In this tdoc, we will further discuss the misalignment issue between the presence of </w:t>
      </w:r>
      <w:r>
        <w:rPr>
          <w:rFonts w:hint="default"/>
          <w:i/>
          <w:iCs/>
          <w:lang w:val="en-US"/>
        </w:rPr>
        <w:t>Area Scope</w:t>
      </w:r>
      <w:r>
        <w:rPr>
          <w:rFonts w:hint="default"/>
          <w:lang w:val="en-US"/>
        </w:rPr>
        <w:t xml:space="preserve"> IE in NR and LTE.</w:t>
      </w:r>
    </w:p>
    <w:p>
      <w:pPr>
        <w:pStyle w:val="2"/>
        <w:rPr>
          <w:rFonts w:hint="default"/>
          <w:lang w:val="en-US"/>
        </w:rPr>
      </w:pPr>
      <w:r>
        <w:rPr>
          <w:rFonts w:hint="default"/>
          <w:lang w:val="en-US"/>
        </w:rPr>
        <w:t xml:space="preserve"> 2</w:t>
      </w:r>
      <w:r>
        <w:rPr>
          <w:rFonts w:cs="Arial"/>
        </w:rPr>
        <w:tab/>
      </w:r>
      <w:r>
        <w:rPr>
          <w:rFonts w:hint="default" w:cs="Arial"/>
          <w:lang w:val="en-US"/>
        </w:rPr>
        <w:t>Background</w:t>
      </w:r>
    </w:p>
    <w:p>
      <w:pPr>
        <w:pStyle w:val="107"/>
        <w:rPr>
          <w:rFonts w:hint="default" w:eastAsia="宋体"/>
          <w:strike w:val="0"/>
          <w:dstrike w:val="0"/>
          <w:lang w:val="en-US" w:eastAsia="zh-CN"/>
        </w:rPr>
      </w:pPr>
      <w:r>
        <w:rPr>
          <w:rFonts w:hint="eastAsia" w:eastAsia="宋体"/>
          <w:strike w:val="0"/>
          <w:dstrike w:val="0"/>
          <w:lang w:val="en-US" w:eastAsia="zh-CN"/>
        </w:rPr>
        <w:t xml:space="preserve">The </w:t>
      </w:r>
      <w:r>
        <w:rPr>
          <w:rFonts w:hint="default" w:eastAsia="宋体"/>
          <w:strike w:val="0"/>
          <w:dstrike w:val="0"/>
          <w:lang w:val="en-US" w:eastAsia="zh-CN"/>
        </w:rPr>
        <w:t xml:space="preserve">basic </w:t>
      </w:r>
      <w:r>
        <w:rPr>
          <w:rFonts w:hint="eastAsia" w:eastAsia="宋体"/>
          <w:strike w:val="0"/>
          <w:dstrike w:val="0"/>
          <w:lang w:val="en-US" w:eastAsia="zh-CN"/>
        </w:rPr>
        <w:t xml:space="preserve">definition of the </w:t>
      </w:r>
      <w:r>
        <w:rPr>
          <w:rFonts w:hint="default" w:eastAsia="宋体"/>
          <w:strike w:val="0"/>
          <w:dstrike w:val="0"/>
          <w:lang w:val="en-US" w:eastAsia="zh-CN"/>
        </w:rPr>
        <w:t>area scope</w:t>
      </w:r>
      <w:r>
        <w:rPr>
          <w:rFonts w:hint="eastAsia" w:eastAsia="宋体"/>
          <w:strike w:val="0"/>
          <w:dstrike w:val="0"/>
          <w:lang w:val="en-US" w:eastAsia="zh-CN"/>
        </w:rPr>
        <w:t xml:space="preserve"> </w:t>
      </w:r>
      <w:r>
        <w:rPr>
          <w:rFonts w:hint="default" w:eastAsia="宋体"/>
          <w:strike w:val="0"/>
          <w:dstrike w:val="0"/>
          <w:lang w:val="en-US" w:eastAsia="zh-CN"/>
        </w:rPr>
        <w:t xml:space="preserve">for QoE </w:t>
      </w:r>
      <w:r>
        <w:rPr>
          <w:rFonts w:hint="eastAsia" w:eastAsia="宋体"/>
          <w:strike w:val="0"/>
          <w:dstrike w:val="0"/>
          <w:lang w:val="en-US" w:eastAsia="zh-CN"/>
        </w:rPr>
        <w:t xml:space="preserve">in TS28.405 </w:t>
      </w:r>
      <w:r>
        <w:rPr>
          <w:rFonts w:hint="default" w:eastAsia="宋体"/>
          <w:strike w:val="0"/>
          <w:dstrike w:val="0"/>
          <w:lang w:val="en-US" w:eastAsia="zh-CN"/>
        </w:rPr>
        <w:t>has not been changed</w:t>
      </w:r>
      <w:r>
        <w:rPr>
          <w:rFonts w:hint="eastAsia" w:eastAsia="宋体"/>
          <w:strike w:val="0"/>
          <w:dstrike w:val="0"/>
          <w:lang w:val="en-US" w:eastAsia="zh-CN"/>
        </w:rPr>
        <w:t xml:space="preserve"> in recent years. This definition is first time </w:t>
      </w:r>
      <w:r>
        <w:rPr>
          <w:rFonts w:hint="default" w:eastAsia="宋体"/>
          <w:strike w:val="0"/>
          <w:dstrike w:val="0"/>
          <w:lang w:val="en-US" w:eastAsia="zh-CN"/>
        </w:rPr>
        <w:t xml:space="preserve">introduced </w:t>
      </w:r>
      <w:r>
        <w:rPr>
          <w:rFonts w:hint="eastAsia" w:eastAsia="宋体"/>
          <w:strike w:val="0"/>
          <w:dstrike w:val="0"/>
          <w:lang w:val="en-US" w:eastAsia="zh-CN"/>
        </w:rPr>
        <w:t xml:space="preserve">in TS28.405-040 and the up-to-date version is in TS28.405-i20. </w:t>
      </w:r>
      <w:r>
        <w:rPr>
          <w:rFonts w:hint="default" w:eastAsia="宋体"/>
          <w:strike w:val="0"/>
          <w:dstrike w:val="0"/>
          <w:lang w:val="en-US" w:eastAsia="zh-CN"/>
        </w:rPr>
        <w:t>Detail is shown below:</w:t>
      </w:r>
    </w:p>
    <w:p>
      <w:pPr>
        <w:pStyle w:val="105"/>
        <w:bidi w:val="0"/>
        <w:rPr>
          <w:rFonts w:hint="default"/>
          <w:lang w:val="en-US"/>
        </w:rPr>
      </w:pPr>
      <w:r>
        <w:rPr>
          <w:rFonts w:hint="default"/>
          <w:lang w:val="en-US"/>
        </w:rPr>
        <w:t>==== description in TS 28.405-</w:t>
      </w:r>
      <w:r>
        <w:rPr>
          <w:rFonts w:hint="eastAsia" w:eastAsia="宋体"/>
          <w:lang w:val="en-US" w:eastAsia="zh-CN"/>
        </w:rPr>
        <w:t>040</w:t>
      </w:r>
      <w:r>
        <w:rPr>
          <w:rFonts w:hint="default"/>
          <w:lang w:val="en-US"/>
        </w:rPr>
        <w:t xml:space="preserve"> ====</w:t>
      </w:r>
    </w:p>
    <w:p>
      <w:pPr>
        <w:pStyle w:val="3"/>
        <w:numPr>
          <w:ilvl w:val="0"/>
          <w:numId w:val="0"/>
        </w:numPr>
        <w:ind w:leftChars="0"/>
        <w:rPr>
          <w:lang w:val="en-US"/>
        </w:rPr>
      </w:pPr>
      <w:bookmarkStart w:id="4" w:name="_Toc530410991"/>
      <w:r>
        <w:rPr>
          <w:lang w:val="en-US"/>
        </w:rPr>
        <w:t>5.4</w:t>
      </w:r>
      <w:r>
        <w:rPr>
          <w:rFonts w:hint="default"/>
          <w:lang w:val="en-US"/>
        </w:rPr>
        <w:t xml:space="preserve"> </w:t>
      </w:r>
      <w:r>
        <w:rPr>
          <w:lang w:val="en-US"/>
        </w:rPr>
        <w:t>Area scope (CM)</w:t>
      </w:r>
      <w:bookmarkEnd w:id="4"/>
    </w:p>
    <w:p>
      <w:pPr>
        <w:rPr>
          <w:highlight w:val="none"/>
        </w:rPr>
      </w:pPr>
      <w:r>
        <w:t xml:space="preserve">The area scope parameter defines the area in terms or cells or Tracking Area/Routing Area/Location Area where the QMC shall take place. </w:t>
      </w:r>
      <w:r>
        <w:rPr>
          <w:highlight w:val="none"/>
        </w:rPr>
        <w:t>If the parameter is not present the QMC shall be done throughout the PLMN specified in PLMN target.</w:t>
      </w:r>
    </w:p>
    <w:p>
      <w:r>
        <w:t>The area scope parameter in UMTS is either:</w:t>
      </w:r>
    </w:p>
    <w:p>
      <w:pPr>
        <w:pStyle w:val="94"/>
      </w:pPr>
      <w:r>
        <w:t>-</w:t>
      </w:r>
      <w:r>
        <w:tab/>
      </w:r>
      <w:r>
        <w:t>List of cells, identified by CGI. Maximum 32 CGI can be defined.</w:t>
      </w:r>
    </w:p>
    <w:p>
      <w:pPr>
        <w:pStyle w:val="94"/>
      </w:pPr>
      <w:r>
        <w:t>-</w:t>
      </w:r>
      <w:r>
        <w:tab/>
      </w:r>
      <w:r>
        <w:t>List of Routing Area, identified by RAI. Maximum of 8 RAIs can be defined.</w:t>
      </w:r>
    </w:p>
    <w:p>
      <w:pPr>
        <w:pStyle w:val="94"/>
      </w:pPr>
      <w:r>
        <w:t>-</w:t>
      </w:r>
      <w:r>
        <w:tab/>
      </w:r>
      <w:r>
        <w:t>List of Location Area, identified by LAI. Maximum of 8 LAIs can be defined.</w:t>
      </w:r>
    </w:p>
    <w:p>
      <w:r>
        <w:t>The area scope parameter in LTE is either:</w:t>
      </w:r>
    </w:p>
    <w:p>
      <w:pPr>
        <w:pStyle w:val="94"/>
      </w:pPr>
      <w:r>
        <w:t>-</w:t>
      </w:r>
      <w:r>
        <w:tab/>
      </w:r>
      <w:r>
        <w:t>list of cells, identified by E-UTRAN-CGI. Maximum 32 CGI can be defined.</w:t>
      </w:r>
    </w:p>
    <w:p>
      <w:pPr>
        <w:pStyle w:val="94"/>
      </w:pPr>
      <w:bookmarkStart w:id="5" w:name="OLE_LINK10"/>
      <w:r>
        <w:t>-</w:t>
      </w:r>
      <w:r>
        <w:tab/>
      </w:r>
      <w:r>
        <w:t xml:space="preserve">List of Tracking Area, identified by TAC. Maximum of 8 TAC can be defined. </w:t>
      </w:r>
    </w:p>
    <w:bookmarkEnd w:id="5"/>
    <w:p>
      <w:pPr>
        <w:rPr>
          <w:rFonts w:hint="default"/>
          <w:lang w:val="en-US"/>
        </w:rPr>
      </w:pPr>
      <w:r>
        <w:rPr>
          <w:highlight w:val="none"/>
        </w:rPr>
        <w:t>The parameter is mandatory if area based QMC is requested.</w:t>
      </w:r>
    </w:p>
    <w:p>
      <w:pPr>
        <w:pStyle w:val="105"/>
        <w:bidi w:val="0"/>
        <w:rPr>
          <w:rFonts w:hint="default"/>
          <w:lang w:val="en-US"/>
        </w:rPr>
      </w:pPr>
      <w:r>
        <w:rPr>
          <w:rFonts w:hint="default"/>
          <w:lang w:val="en-US"/>
        </w:rPr>
        <w:t>==== description in TS 28.405-</w:t>
      </w:r>
      <w:r>
        <w:rPr>
          <w:rFonts w:hint="eastAsia" w:eastAsia="宋体"/>
          <w:lang w:val="en-US" w:eastAsia="zh-CN"/>
        </w:rPr>
        <w:t>040</w:t>
      </w:r>
      <w:r>
        <w:rPr>
          <w:rFonts w:hint="default"/>
          <w:lang w:val="en-US"/>
        </w:rPr>
        <w:t xml:space="preserve"> ====</w:t>
      </w:r>
    </w:p>
    <w:p>
      <w:pPr>
        <w:pStyle w:val="105"/>
        <w:bidi w:val="0"/>
        <w:rPr>
          <w:rFonts w:hint="default"/>
          <w:lang w:val="en-US"/>
        </w:rPr>
      </w:pPr>
    </w:p>
    <w:p>
      <w:pPr>
        <w:pStyle w:val="105"/>
        <w:bidi w:val="0"/>
        <w:rPr>
          <w:rFonts w:hint="default"/>
          <w:lang w:val="en-US"/>
        </w:rPr>
      </w:pPr>
      <w:r>
        <w:rPr>
          <w:rFonts w:hint="default"/>
          <w:lang w:val="en-US"/>
        </w:rPr>
        <w:t>==== description in TS 28.405-</w:t>
      </w:r>
      <w:r>
        <w:rPr>
          <w:rFonts w:hint="default" w:eastAsia="宋体"/>
          <w:lang w:val="en-US" w:eastAsia="zh-CN"/>
        </w:rPr>
        <w:t>i20</w:t>
      </w:r>
      <w:r>
        <w:rPr>
          <w:rFonts w:hint="default"/>
          <w:lang w:val="en-US"/>
        </w:rPr>
        <w:t xml:space="preserve"> ====</w:t>
      </w:r>
    </w:p>
    <w:p>
      <w:pPr>
        <w:pStyle w:val="3"/>
        <w:numPr>
          <w:ilvl w:val="0"/>
          <w:numId w:val="0"/>
        </w:numPr>
        <w:ind w:leftChars="0"/>
      </w:pPr>
      <w:bookmarkStart w:id="6" w:name="_Toc42758788"/>
      <w:bookmarkStart w:id="7" w:name="_Toc42759195"/>
      <w:bookmarkStart w:id="8" w:name="_Toc122426136"/>
      <w:r>
        <w:t>5.4</w:t>
      </w:r>
      <w:r>
        <w:tab/>
      </w:r>
      <w:r>
        <w:t>Area scope (CM)</w:t>
      </w:r>
      <w:bookmarkEnd w:id="6"/>
      <w:bookmarkEnd w:id="7"/>
      <w:bookmarkEnd w:id="8"/>
    </w:p>
    <w:p>
      <w:pPr>
        <w:rPr>
          <w:highlight w:val="none"/>
        </w:rPr>
      </w:pPr>
      <w:r>
        <w:t>The area scope parameter defines the area in terms or cells or Tracking Area/Routing Area/Location Area where the QMC shall take place.</w:t>
      </w:r>
      <w:r>
        <w:rPr>
          <w:highlight w:val="none"/>
        </w:rPr>
        <w:t xml:space="preserve"> If the parameter is not present the QMC shall be done throughout the PLMN specified in PLMN target.</w:t>
      </w:r>
    </w:p>
    <w:p>
      <w:r>
        <w:t>The area scope parameter in UMTS is either:</w:t>
      </w:r>
    </w:p>
    <w:p>
      <w:pPr>
        <w:pStyle w:val="94"/>
      </w:pPr>
      <w:r>
        <w:t>-</w:t>
      </w:r>
      <w:r>
        <w:tab/>
      </w:r>
      <w:r>
        <w:t>List of cells, identified by CGI. Maximum 32 CGI can be defined.</w:t>
      </w:r>
    </w:p>
    <w:p>
      <w:pPr>
        <w:pStyle w:val="94"/>
      </w:pPr>
      <w:r>
        <w:t>-</w:t>
      </w:r>
      <w:r>
        <w:tab/>
      </w:r>
      <w:r>
        <w:t>List of Routing Area, identified by RAI. Maximum of 8 RAIs can be defined.</w:t>
      </w:r>
    </w:p>
    <w:p>
      <w:pPr>
        <w:pStyle w:val="94"/>
      </w:pPr>
      <w:r>
        <w:t>-</w:t>
      </w:r>
      <w:r>
        <w:tab/>
      </w:r>
      <w:r>
        <w:t>List of Location Area, identified by LAI. Maximum of 8 LAIs can be defined.</w:t>
      </w:r>
    </w:p>
    <w:p>
      <w:r>
        <w:t>The area scope parameter in LTE is either:</w:t>
      </w:r>
    </w:p>
    <w:p>
      <w:pPr>
        <w:pStyle w:val="94"/>
      </w:pPr>
      <w:r>
        <w:t>-</w:t>
      </w:r>
      <w:r>
        <w:tab/>
      </w:r>
      <w:r>
        <w:t>list of cells, identified by E-UTRAN-CGI. Maximum 32 CGI can be defined.</w:t>
      </w:r>
    </w:p>
    <w:p>
      <w:pPr>
        <w:pStyle w:val="94"/>
      </w:pPr>
      <w:r>
        <w:t>-</w:t>
      </w:r>
      <w:r>
        <w:tab/>
      </w:r>
      <w:r>
        <w:t xml:space="preserve">List of Tracking Area, identified by TAC. Maximum of 8 TAC can be defined. </w:t>
      </w:r>
    </w:p>
    <w:p>
      <w:pPr>
        <w:rPr>
          <w:rFonts w:ascii="Arial" w:hAnsi="Arial" w:cs="Arial"/>
          <w:sz w:val="18"/>
          <w:szCs w:val="18"/>
        </w:rPr>
      </w:pPr>
      <w:r>
        <w:rPr>
          <w:rFonts w:ascii="Arial" w:hAnsi="Arial" w:cs="Arial"/>
          <w:sz w:val="18"/>
          <w:szCs w:val="18"/>
        </w:rPr>
        <w:t>The area scope parameter in NR is either:</w:t>
      </w:r>
    </w:p>
    <w:p>
      <w:pPr>
        <w:pStyle w:val="9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list of cells, identified by N-CGI. Maximum 32 NCGI can be defined.</w:t>
      </w:r>
    </w:p>
    <w:p>
      <w:pPr>
        <w:pStyle w:val="94"/>
      </w:pPr>
      <w:r>
        <w:rPr>
          <w:rFonts w:cs="Arial"/>
          <w:szCs w:val="18"/>
        </w:rPr>
        <w:t>-</w:t>
      </w:r>
      <w:r>
        <w:rPr>
          <w:rFonts w:cs="Arial"/>
          <w:szCs w:val="18"/>
        </w:rPr>
        <w:tab/>
      </w:r>
      <w:r>
        <w:rPr>
          <w:rFonts w:cs="Arial"/>
          <w:szCs w:val="18"/>
        </w:rPr>
        <w:t>List of Tracking Area, identified by TAC. Maximum of 8 TAC can be defined.</w:t>
      </w:r>
    </w:p>
    <w:p>
      <w:pPr>
        <w:rPr>
          <w:rFonts w:hint="default"/>
          <w:highlight w:val="none"/>
          <w:lang w:val="en-US"/>
        </w:rPr>
      </w:pPr>
      <w:r>
        <w:rPr>
          <w:highlight w:val="none"/>
        </w:rPr>
        <w:t>The parameter is mandatory if area based QMC is requested.</w:t>
      </w:r>
    </w:p>
    <w:p>
      <w:pPr>
        <w:pStyle w:val="105"/>
        <w:bidi w:val="0"/>
        <w:rPr>
          <w:rFonts w:hint="default"/>
          <w:lang w:val="en-US"/>
        </w:rPr>
      </w:pPr>
      <w:r>
        <w:rPr>
          <w:rFonts w:hint="default"/>
          <w:lang w:val="en-US"/>
        </w:rPr>
        <w:t>==== description in TS 28.405-</w:t>
      </w:r>
      <w:r>
        <w:rPr>
          <w:rFonts w:hint="default" w:eastAsia="宋体"/>
          <w:lang w:val="en-US" w:eastAsia="zh-CN"/>
        </w:rPr>
        <w:t xml:space="preserve">i20 </w:t>
      </w:r>
      <w:r>
        <w:rPr>
          <w:rFonts w:hint="default"/>
          <w:lang w:val="en-US"/>
        </w:rPr>
        <w:t>====</w:t>
      </w:r>
    </w:p>
    <w:p>
      <w:pPr>
        <w:bidi w:val="0"/>
        <w:rPr>
          <w:rFonts w:hint="default" w:ascii="Arial" w:hAnsi="Arial" w:eastAsia="宋体" w:cs="Arial"/>
          <w:strike w:val="0"/>
          <w:dstrike w:val="0"/>
          <w:lang w:val="en-US" w:eastAsia="zh-CN" w:bidi="ar-SA"/>
        </w:rPr>
      </w:pPr>
      <w:r>
        <w:rPr>
          <w:rFonts w:hint="default" w:ascii="Arial" w:hAnsi="Arial" w:eastAsia="宋体" w:cs="Arial"/>
          <w:strike w:val="0"/>
          <w:dstrike w:val="0"/>
          <w:lang w:val="en-US" w:eastAsia="zh-CN" w:bidi="ar-SA"/>
        </w:rPr>
        <w:t>As shown above, it is clear that from SA5 point of view, the usability of QoE area scope info in both NR and LTE shares the same mechanism and has not been changed.</w:t>
      </w:r>
    </w:p>
    <w:p>
      <w:pPr>
        <w:bidi w:val="0"/>
        <w:rPr>
          <w:rFonts w:hint="default" w:ascii="Arial" w:hAnsi="Arial" w:eastAsia="宋体" w:cs="Arial"/>
          <w:b/>
          <w:bCs/>
          <w:strike w:val="0"/>
          <w:dstrike w:val="0"/>
          <w:lang w:val="en-US" w:eastAsia="zh-CN" w:bidi="ar-SA"/>
        </w:rPr>
      </w:pPr>
      <w:r>
        <w:rPr>
          <w:rFonts w:hint="default" w:ascii="Arial" w:hAnsi="Arial" w:eastAsia="宋体" w:cs="Arial"/>
          <w:b/>
          <w:bCs/>
          <w:strike w:val="0"/>
          <w:dstrike w:val="0"/>
          <w:lang w:val="en-US" w:eastAsia="zh-CN" w:bidi="ar-SA"/>
        </w:rPr>
        <w:t xml:space="preserve">Observation </w:t>
      </w:r>
      <w:r>
        <w:rPr>
          <w:rFonts w:hint="eastAsia" w:ascii="Arial" w:hAnsi="Arial" w:eastAsia="宋体" w:cs="Arial"/>
          <w:b/>
          <w:bCs/>
          <w:strike w:val="0"/>
          <w:dstrike w:val="0"/>
          <w:lang w:val="en-US" w:eastAsia="zh-CN" w:bidi="ar-SA"/>
        </w:rPr>
        <w:t>1</w:t>
      </w:r>
      <w:r>
        <w:rPr>
          <w:rFonts w:hint="default" w:ascii="Arial" w:hAnsi="Arial" w:eastAsia="宋体" w:cs="Arial"/>
          <w:b/>
          <w:bCs/>
          <w:strike w:val="0"/>
          <w:dstrike w:val="0"/>
          <w:lang w:val="en-US" w:eastAsia="zh-CN" w:bidi="ar-SA"/>
        </w:rPr>
        <w:t>: Based on SA5 specification TS 28.405, the area scope of QoE shares the same mechanism in both LTE and NR.</w:t>
      </w:r>
    </w:p>
    <w:p>
      <w:pPr>
        <w:pStyle w:val="107"/>
        <w:bidi w:val="0"/>
        <w:rPr>
          <w:rFonts w:hint="default"/>
          <w:lang w:val="en-US"/>
        </w:rPr>
      </w:pPr>
      <w:r>
        <w:rPr>
          <w:rFonts w:hint="default"/>
          <w:lang w:val="en-US"/>
        </w:rPr>
        <w:t>Meanwhile from RAN3 point of view, the presence of the Area Scope IE in both NGAP and XnAP is Optional after RAN3#120(R3-233430). But in LTE, this IE is defined as a mandatory IE in both S1AP and X2AP which is not as same as the presence of Area Scope IE RAN3 defined for NR QoE. The tabular in TS36.413-h40 is shown below:</w:t>
      </w:r>
    </w:p>
    <w:p>
      <w:pPr>
        <w:pStyle w:val="105"/>
        <w:bidi w:val="0"/>
        <w:rPr>
          <w:rFonts w:hint="default"/>
          <w:lang w:val="en-US"/>
        </w:rPr>
      </w:pPr>
      <w:r>
        <w:rPr>
          <w:rFonts w:hint="default"/>
          <w:lang w:val="en-US"/>
        </w:rPr>
        <w:t>==== content in TS 36.413-h40 ====</w:t>
      </w:r>
    </w:p>
    <w:p>
      <w:pPr>
        <w:pStyle w:val="105"/>
        <w:bidi w:val="0"/>
        <w:rPr>
          <w:rFonts w:hint="default"/>
          <w:lang w:val="en-US"/>
        </w:rPr>
      </w:pPr>
    </w:p>
    <w:p>
      <w:pPr>
        <w:pStyle w:val="5"/>
        <w:rPr>
          <w:lang w:eastAsia="zh-CN"/>
        </w:rPr>
      </w:pPr>
      <w:bookmarkStart w:id="9" w:name="_Toc29391014"/>
      <w:bookmarkStart w:id="10" w:name="_Toc51762926"/>
      <w:bookmarkStart w:id="11" w:name="_Toc36551751"/>
      <w:bookmarkStart w:id="12" w:name="_Toc114052396"/>
      <w:bookmarkStart w:id="13" w:name="_Toc45831973"/>
      <w:bookmarkStart w:id="14" w:name="_Toc105517701"/>
      <w:bookmarkStart w:id="15" w:name="_Toc88647105"/>
      <w:bookmarkStart w:id="16" w:name="_Toc97883054"/>
      <w:bookmarkStart w:id="17" w:name="_Toc20953836"/>
      <w:bookmarkStart w:id="18" w:name="_Toc120011785"/>
      <w:bookmarkStart w:id="19" w:name="_Toc98531629"/>
      <w:bookmarkStart w:id="20" w:name="_Toc113657177"/>
      <w:bookmarkStart w:id="21" w:name="_Toc64381978"/>
      <w:bookmarkStart w:id="22" w:name="_Toc106108592"/>
      <w:bookmarkStart w:id="23" w:name="_Toc73964496"/>
      <w:r>
        <w:rPr>
          <w:rFonts w:eastAsia="Batang"/>
        </w:rPr>
        <w:t>9.2.1.128</w:t>
      </w:r>
      <w:r>
        <w:rPr>
          <w:rFonts w:eastAsia="Batang"/>
        </w:rPr>
        <w:tab/>
      </w:r>
      <w:r>
        <w:rPr>
          <w:rFonts w:eastAsia="Batang"/>
        </w:rPr>
        <w:t>UE Application layer measurement configuration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rPr>
          <w:lang w:eastAsia="zh-CN"/>
        </w:rPr>
      </w:pPr>
      <w:r>
        <w:rPr>
          <w:lang w:eastAsia="zh-CN"/>
        </w:rPr>
        <w:t>The IE defines configuration information for the QoE Measurement Collection (QMC) function.</w:t>
      </w:r>
    </w:p>
    <w:tbl>
      <w:tblPr>
        <w:tblStyle w:val="42"/>
        <w:tblW w:w="1078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Range</w:t>
            </w:r>
          </w:p>
        </w:tc>
        <w:tc>
          <w:tcPr>
            <w:tcW w:w="1980"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Octet string (1..1000)</w:t>
            </w: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Indicates application layer measurement configuration, see Annex L in [43].</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rPr>
                <w:rFonts w:cs="Arial"/>
                <w:highlight w:val="yellow"/>
                <w:lang w:eastAsia="ja-JP"/>
              </w:rPr>
            </w:pPr>
            <w:r>
              <w:rPr>
                <w:rFonts w:cs="Arial"/>
                <w:highlight w:val="yellow"/>
                <w:lang w:eastAsia="ja-JP"/>
              </w:rPr>
              <w:t>CHOICE</w:t>
            </w:r>
            <w:r>
              <w:rPr>
                <w:rFonts w:cs="Arial"/>
                <w:i/>
                <w:highlight w:val="yellow"/>
                <w:lang w:eastAsia="ja-JP"/>
              </w:rPr>
              <w:t xml:space="preserve"> Area</w:t>
            </w:r>
            <w:r>
              <w:rPr>
                <w:rFonts w:cs="Arial"/>
                <w:i/>
                <w:highlight w:val="yellow"/>
                <w:lang w:eastAsia="zh-CN"/>
              </w:rPr>
              <w:t xml:space="preserve"> Scope of QMC</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highlight w:val="yellow"/>
                <w:lang w:eastAsia="ja-JP"/>
              </w:rPr>
            </w:pPr>
            <w:r>
              <w:rPr>
                <w:rFonts w:cs="Arial"/>
                <w:highlight w:val="yellow"/>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142"/>
              <w:rPr>
                <w:rFonts w:cs="Arial"/>
                <w:lang w:eastAsia="zh-CN"/>
              </w:rPr>
            </w:pPr>
            <w:r>
              <w:rPr>
                <w:rFonts w:cs="Arial"/>
                <w:lang w:eastAsia="zh-CN"/>
              </w:rPr>
              <w:t>&gt;</w:t>
            </w:r>
            <w:r>
              <w:rPr>
                <w:rFonts w:cs="Arial"/>
                <w:i/>
                <w:lang w:eastAsia="zh-CN"/>
              </w:rPr>
              <w:t>Cell based</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425"/>
              <w:rPr>
                <w:rFonts w:cs="Arial"/>
                <w:iCs/>
                <w:lang w:eastAsia="ja-JP"/>
              </w:rPr>
            </w:pPr>
            <w:r>
              <w:rPr>
                <w:rFonts w:cs="Arial"/>
                <w:iCs/>
                <w:lang w:eastAsia="ja-JP"/>
              </w:rPr>
              <w:t>&gt;&gt;</w:t>
            </w:r>
            <w:r>
              <w:rPr>
                <w:rFonts w:cs="Arial"/>
                <w:iCs/>
                <w:lang w:eastAsia="zh-CN"/>
              </w:rPr>
              <w:t>&gt;</w:t>
            </w:r>
            <w:r>
              <w:rPr>
                <w:rFonts w:cs="Arial"/>
                <w:iCs/>
                <w:lang w:eastAsia="ja-JP"/>
              </w:rPr>
              <w:t>E-CGI</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9.2.1.38</w:t>
            </w: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142"/>
              <w:rPr>
                <w:rFonts w:cs="Arial"/>
                <w:lang w:eastAsia="zh-CN"/>
              </w:rPr>
            </w:pPr>
            <w:r>
              <w:rPr>
                <w:rFonts w:cs="Arial"/>
                <w:lang w:eastAsia="zh-CN"/>
              </w:rPr>
              <w:t>&gt;</w:t>
            </w:r>
            <w:r>
              <w:rPr>
                <w:rFonts w:cs="Arial"/>
                <w:i/>
                <w:lang w:eastAsia="zh-CN"/>
              </w:rPr>
              <w:t>TA based</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9.2.3.7</w:t>
            </w: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r>
              <w:rPr>
                <w:rFonts w:cs="Arial"/>
                <w:bCs/>
                <w:lang w:eastAsia="zh-CN"/>
              </w:rPr>
              <w:t>The TAI is derived using the current serving PLMN.</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142"/>
              <w:rPr>
                <w:rFonts w:cs="Arial"/>
                <w:lang w:eastAsia="ja-JP"/>
              </w:rPr>
            </w:pPr>
            <w:r>
              <w:rPr>
                <w:rFonts w:cs="Arial"/>
                <w:lang w:eastAsia="ja-JP"/>
              </w:rPr>
              <w:t>&gt;</w:t>
            </w:r>
            <w:r>
              <w:rPr>
                <w:rFonts w:cs="Arial"/>
                <w:i/>
                <w:lang w:eastAsia="ja-JP"/>
              </w:rPr>
              <w:t>TAI based</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284"/>
              <w:rPr>
                <w:rFonts w:cs="Arial"/>
                <w:lang w:eastAsia="ja-JP"/>
              </w:rPr>
            </w:pPr>
            <w:r>
              <w:rPr>
                <w:rFonts w:cs="Arial"/>
                <w:lang w:eastAsia="ja-JP"/>
              </w:rPr>
              <w:t>&gt;&gt;</w:t>
            </w:r>
            <w:r>
              <w:rPr>
                <w:rFonts w:cs="Arial"/>
                <w:b/>
                <w:lang w:eastAsia="ja-JP"/>
              </w:rPr>
              <w:t>TAI List for QMC</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425"/>
              <w:rPr>
                <w:rFonts w:cs="Arial"/>
                <w:lang w:eastAsia="ja-JP"/>
              </w:rPr>
            </w:pPr>
            <w:r>
              <w:rPr>
                <w:rFonts w:cs="Arial"/>
                <w:lang w:eastAsia="ja-JP"/>
              </w:rPr>
              <w:t>&gt;&gt;&gt;TAI</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9.2.3.16</w:t>
            </w: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142"/>
              <w:rPr>
                <w:rFonts w:cs="Arial"/>
                <w:lang w:eastAsia="zh-CN"/>
              </w:rPr>
            </w:pPr>
            <w:r>
              <w:rPr>
                <w:rFonts w:cs="Arial"/>
                <w:lang w:eastAsia="zh-CN"/>
              </w:rPr>
              <w:t>&gt;</w:t>
            </w:r>
            <w:r>
              <w:rPr>
                <w:rFonts w:cs="Arial"/>
                <w:i/>
                <w:lang w:eastAsia="zh-CN"/>
              </w:rPr>
              <w:t>PLMN area based</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9.2.3.8</w:t>
            </w: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Service Type</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ENUMERATED</w:t>
            </w:r>
          </w:p>
          <w:p>
            <w:pPr>
              <w:pStyle w:val="63"/>
              <w:rPr>
                <w:rFonts w:cs="Arial"/>
                <w:lang w:eastAsia="ja-JP"/>
              </w:rPr>
            </w:pPr>
            <w:r>
              <w:rPr>
                <w:rFonts w:cs="Arial"/>
                <w:lang w:eastAsia="zh-CN"/>
              </w:rPr>
              <w:t>(QMC for streaming service, QMC for MTSI service, ...)</w:t>
            </w: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r>
              <w:rPr>
                <w:rFonts w:cs="Arial"/>
                <w:lang w:eastAsia="zh-CN"/>
              </w:rPr>
              <w:t>This IE indicates the service type of UE application layer measurements.</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lang w:eastAsia="zh-CN"/>
              </w:rPr>
              <w:t>-</w:t>
            </w:r>
          </w:p>
        </w:tc>
      </w:tr>
    </w:tbl>
    <w:p>
      <w:pPr>
        <w:rPr>
          <w:lang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1"/>
              <w:rPr>
                <w:rFonts w:cs="Arial"/>
                <w:lang w:eastAsia="ja-JP"/>
              </w:rPr>
            </w:pPr>
            <w:r>
              <w:rPr>
                <w:rFonts w:cs="Arial"/>
                <w:lang w:eastAsia="ja-JP"/>
              </w:rPr>
              <w:t>Range bound</w:t>
            </w:r>
          </w:p>
        </w:tc>
        <w:tc>
          <w:tcPr>
            <w:tcW w:w="5987" w:type="dxa"/>
          </w:tcPr>
          <w:p>
            <w:pPr>
              <w:pStyle w:val="6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3"/>
              <w:rPr>
                <w:rFonts w:cs="Arial"/>
                <w:lang w:eastAsia="zh-CN"/>
              </w:rPr>
            </w:pPr>
            <w:r>
              <w:rPr>
                <w:rFonts w:cs="Arial"/>
                <w:lang w:eastAsia="ja-JP"/>
              </w:rPr>
              <w:t>maxnoofCellID</w:t>
            </w:r>
            <w:r>
              <w:rPr>
                <w:rFonts w:cs="Arial"/>
                <w:lang w:eastAsia="zh-CN"/>
              </w:rPr>
              <w:t>forQMC</w:t>
            </w:r>
          </w:p>
        </w:tc>
        <w:tc>
          <w:tcPr>
            <w:tcW w:w="5987" w:type="dxa"/>
          </w:tcPr>
          <w:p>
            <w:pPr>
              <w:pStyle w:val="63"/>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3"/>
              <w:rPr>
                <w:rFonts w:cs="Arial"/>
                <w:lang w:eastAsia="ja-JP"/>
              </w:rPr>
            </w:pPr>
            <w:r>
              <w:rPr>
                <w:rFonts w:cs="Arial"/>
                <w:lang w:eastAsia="ja-JP"/>
              </w:rPr>
              <w:t>maxnoofTA</w:t>
            </w:r>
            <w:r>
              <w:rPr>
                <w:rFonts w:cs="Arial"/>
                <w:lang w:eastAsia="zh-CN"/>
              </w:rPr>
              <w:t>forQMC</w:t>
            </w:r>
          </w:p>
        </w:tc>
        <w:tc>
          <w:tcPr>
            <w:tcW w:w="5987" w:type="dxa"/>
          </w:tcPr>
          <w:p>
            <w:pPr>
              <w:pStyle w:val="63"/>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3"/>
              <w:rPr>
                <w:rFonts w:cs="Arial"/>
                <w:lang w:eastAsia="zh-CN"/>
              </w:rPr>
            </w:pPr>
            <w:r>
              <w:rPr>
                <w:rFonts w:cs="Arial"/>
                <w:lang w:eastAsia="zh-CN"/>
              </w:rPr>
              <w:t>maxnoofPLMNforQMC</w:t>
            </w:r>
          </w:p>
        </w:tc>
        <w:tc>
          <w:tcPr>
            <w:tcW w:w="5987" w:type="dxa"/>
          </w:tcPr>
          <w:p>
            <w:pPr>
              <w:pStyle w:val="63"/>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pPr>
        <w:pStyle w:val="107"/>
        <w:rPr>
          <w:rFonts w:hint="default"/>
          <w:lang w:val="en-US"/>
        </w:rPr>
      </w:pPr>
    </w:p>
    <w:p>
      <w:pPr>
        <w:pStyle w:val="105"/>
        <w:bidi w:val="0"/>
        <w:rPr>
          <w:rFonts w:hint="default"/>
          <w:lang w:val="en-US"/>
        </w:rPr>
      </w:pPr>
      <w:r>
        <w:rPr>
          <w:rFonts w:hint="default"/>
          <w:lang w:val="en-US"/>
        </w:rPr>
        <w:t>==== content in TS 36.413-h40 ====</w:t>
      </w:r>
    </w:p>
    <w:p>
      <w:pPr>
        <w:pStyle w:val="107"/>
        <w:rPr>
          <w:rFonts w:hint="default"/>
          <w:b/>
          <w:bCs/>
          <w:lang w:val="en-US"/>
        </w:rPr>
      </w:pPr>
      <w:r>
        <w:rPr>
          <w:rFonts w:hint="default"/>
          <w:b/>
          <w:bCs/>
          <w:lang w:val="en-US"/>
        </w:rPr>
        <w:t xml:space="preserve">Observation </w:t>
      </w:r>
      <w:r>
        <w:rPr>
          <w:rFonts w:hint="eastAsia" w:eastAsia="宋体"/>
          <w:b/>
          <w:bCs/>
          <w:lang w:val="en-US" w:eastAsia="zh-CN"/>
        </w:rPr>
        <w:t>2</w:t>
      </w:r>
      <w:r>
        <w:rPr>
          <w:rFonts w:hint="default"/>
          <w:b/>
          <w:bCs/>
          <w:lang w:val="en-US"/>
        </w:rPr>
        <w:t xml:space="preserve">: Based on RAN3 definition, the presences of the Area Scope IE in LTE QoE and NR QoE are not same. </w:t>
      </w:r>
    </w:p>
    <w:p>
      <w:pPr>
        <w:pStyle w:val="2"/>
        <w:rPr>
          <w:rFonts w:hint="eastAsia" w:eastAsia="宋体" w:cs="Arial"/>
          <w:lang w:val="en-US" w:eastAsia="zh-CN"/>
        </w:rPr>
      </w:pPr>
      <w:r>
        <w:rPr>
          <w:rFonts w:hint="default"/>
          <w:lang w:val="en-US"/>
        </w:rPr>
        <w:t xml:space="preserve"> 3</w:t>
      </w:r>
      <w:r>
        <w:rPr>
          <w:rFonts w:cs="Arial"/>
        </w:rPr>
        <w:tab/>
      </w:r>
      <w:r>
        <w:rPr>
          <w:rFonts w:hint="eastAsia" w:eastAsia="宋体" w:cs="Arial"/>
          <w:lang w:val="en-US" w:eastAsia="zh-CN"/>
        </w:rPr>
        <w:t>Discussion</w:t>
      </w:r>
    </w:p>
    <w:p>
      <w:pPr>
        <w:pStyle w:val="107"/>
        <w:numPr>
          <w:ilvl w:val="0"/>
          <w:numId w:val="0"/>
        </w:numPr>
        <w:rPr>
          <w:rFonts w:hint="default" w:eastAsia="宋体"/>
          <w:lang w:val="en-US" w:eastAsia="zh-CN"/>
        </w:rPr>
      </w:pPr>
      <w:r>
        <w:rPr>
          <w:rFonts w:hint="default" w:eastAsia="宋体"/>
          <w:lang w:val="en-US" w:eastAsia="zh-CN"/>
        </w:rPr>
        <w:t xml:space="preserve">As explained in the background section, there is no different definitions for LTE area scope or NR area scope for QoE in SA5 specification TS28.405. Meanwhile, at RAN side, the presence of the Area Scope IE in LTE QoE and NR QoE are not same. </w:t>
      </w:r>
    </w:p>
    <w:p>
      <w:pPr>
        <w:pStyle w:val="107"/>
        <w:rPr>
          <w:rFonts w:hint="default" w:eastAsia="宋体"/>
          <w:lang w:val="en-US" w:eastAsia="zh-CN"/>
        </w:rPr>
      </w:pPr>
      <w:r>
        <w:rPr>
          <w:rFonts w:hint="default" w:eastAsia="宋体"/>
          <w:lang w:val="en-US" w:eastAsia="zh-CN"/>
        </w:rPr>
        <w:t>To make the QoE mechanism simple and sync up the QoE mechanism in both NR and LTE, we prefer to change the presence of Area Scope IE to optional for LTE which is as same as what RAN3 has done in NR field. Though this correction is a NBC one, considering the QoE function(either NR or LTE) has not been widely deployed in the market, we prefer to unify</w:t>
      </w:r>
      <w:r>
        <w:rPr>
          <w:rFonts w:hint="eastAsia" w:eastAsia="宋体"/>
          <w:lang w:val="en-US" w:eastAsia="zh-CN"/>
        </w:rPr>
        <w:t xml:space="preserve"> </w:t>
      </w:r>
      <w:r>
        <w:rPr>
          <w:rFonts w:hint="default" w:eastAsia="宋体"/>
          <w:lang w:val="en-US" w:eastAsia="zh-CN"/>
        </w:rPr>
        <w:t xml:space="preserve">the </w:t>
      </w:r>
      <w:r>
        <w:rPr>
          <w:rFonts w:hint="eastAsia" w:eastAsia="宋体"/>
          <w:lang w:val="en-US" w:eastAsia="zh-CN"/>
        </w:rPr>
        <w:t xml:space="preserve">Area Scope IE </w:t>
      </w:r>
      <w:r>
        <w:rPr>
          <w:rFonts w:hint="default" w:eastAsia="宋体"/>
          <w:lang w:val="en-US" w:eastAsia="zh-CN"/>
        </w:rPr>
        <w:t>in both LTE and NR to sync up the definition and avoid any potential issues between LTE and NR QoE system(e.g. inter system mobility).</w:t>
      </w:r>
      <w:r>
        <w:rPr>
          <w:rFonts w:hint="eastAsia" w:eastAsia="宋体"/>
          <w:lang w:val="en-US" w:eastAsia="zh-CN"/>
        </w:rPr>
        <w:t xml:space="preserve"> Though this correction is a NBC one, considering there is no company formally deploy the LTE QoE function, make such correction at current stage can minimize the cost and have minimum impact.</w:t>
      </w:r>
    </w:p>
    <w:p>
      <w:pPr>
        <w:pStyle w:val="107"/>
        <w:rPr>
          <w:rFonts w:hint="default" w:eastAsia="宋体"/>
          <w:b/>
          <w:bCs/>
          <w:lang w:val="en-US" w:eastAsia="zh-CN"/>
        </w:rPr>
      </w:pPr>
      <w:r>
        <w:rPr>
          <w:rFonts w:hint="default" w:eastAsia="宋体"/>
          <w:b/>
          <w:bCs/>
          <w:lang w:val="en-US" w:eastAsia="zh-CN"/>
        </w:rPr>
        <w:t>Proposal 1: The presence of the Area Scope IE for LTE QoE shall be corrected to optional in both S1AP and X2AP.</w:t>
      </w:r>
    </w:p>
    <w:p>
      <w:pPr>
        <w:pStyle w:val="107"/>
        <w:rPr>
          <w:rFonts w:hint="default" w:eastAsia="宋体"/>
          <w:lang w:val="en-US" w:eastAsia="zh-CN"/>
        </w:rPr>
      </w:pPr>
      <w:r>
        <w:rPr>
          <w:rFonts w:hint="default" w:eastAsia="宋体"/>
          <w:lang w:val="en-US" w:eastAsia="zh-CN"/>
        </w:rPr>
        <w:t xml:space="preserve">Detail corrections can be found in our contributions </w:t>
      </w:r>
      <w:r>
        <w:rPr>
          <w:rFonts w:hint="default" w:eastAsia="宋体"/>
          <w:highlight w:val="yellow"/>
          <w:lang w:val="en-US" w:eastAsia="zh-CN"/>
        </w:rPr>
        <w:t>xxxx</w:t>
      </w:r>
      <w:r>
        <w:rPr>
          <w:rFonts w:hint="default" w:eastAsia="宋体"/>
          <w:lang w:val="en-US" w:eastAsia="zh-CN"/>
        </w:rPr>
        <w:t xml:space="preserve">. </w:t>
      </w:r>
    </w:p>
    <w:p>
      <w:pPr>
        <w:pStyle w:val="2"/>
        <w:rPr>
          <w:rFonts w:hint="default" w:cs="Arial"/>
          <w:lang w:val="en-US"/>
        </w:rPr>
      </w:pPr>
      <w:bookmarkStart w:id="24" w:name="OLE_LINK3"/>
      <w:r>
        <w:rPr>
          <w:rFonts w:hint="default"/>
          <w:lang w:val="en-US"/>
        </w:rPr>
        <w:t xml:space="preserve"> 3</w:t>
      </w:r>
      <w:r>
        <w:rPr>
          <w:rFonts w:cs="Arial"/>
        </w:rPr>
        <w:tab/>
      </w:r>
      <w:r>
        <w:rPr>
          <w:rFonts w:hint="default" w:cs="Arial"/>
          <w:lang w:val="en-US"/>
        </w:rPr>
        <w:t>Conclusion</w:t>
      </w:r>
    </w:p>
    <w:bookmarkEnd w:id="24"/>
    <w:p>
      <w:pPr>
        <w:bidi w:val="0"/>
        <w:rPr>
          <w:rFonts w:hint="default" w:ascii="Arial" w:hAnsi="Arial" w:eastAsia="宋体" w:cs="Arial"/>
          <w:b/>
          <w:bCs/>
          <w:strike w:val="0"/>
          <w:dstrike w:val="0"/>
          <w:lang w:val="en-US" w:eastAsia="zh-CN" w:bidi="ar-SA"/>
        </w:rPr>
      </w:pPr>
      <w:r>
        <w:rPr>
          <w:rFonts w:hint="default" w:ascii="Arial" w:hAnsi="Arial" w:eastAsia="宋体" w:cs="Arial"/>
          <w:b/>
          <w:bCs/>
          <w:strike w:val="0"/>
          <w:dstrike w:val="0"/>
          <w:lang w:val="en-US" w:eastAsia="zh-CN" w:bidi="ar-SA"/>
        </w:rPr>
        <w:t xml:space="preserve">Observation </w:t>
      </w:r>
      <w:r>
        <w:rPr>
          <w:rFonts w:hint="eastAsia" w:ascii="Arial" w:hAnsi="Arial" w:eastAsia="宋体" w:cs="Arial"/>
          <w:b/>
          <w:bCs/>
          <w:strike w:val="0"/>
          <w:dstrike w:val="0"/>
          <w:lang w:val="en-US" w:eastAsia="zh-CN" w:bidi="ar-SA"/>
        </w:rPr>
        <w:t>1</w:t>
      </w:r>
      <w:r>
        <w:rPr>
          <w:rFonts w:hint="default" w:ascii="Arial" w:hAnsi="Arial" w:eastAsia="宋体" w:cs="Arial"/>
          <w:b/>
          <w:bCs/>
          <w:strike w:val="0"/>
          <w:dstrike w:val="0"/>
          <w:lang w:val="en-US" w:eastAsia="zh-CN" w:bidi="ar-SA"/>
        </w:rPr>
        <w:t>: Based on SA5 specification TS 28.405, the area scope of QoE shares the same mechanism in both LTE and NR.</w:t>
      </w:r>
    </w:p>
    <w:p>
      <w:pPr>
        <w:pStyle w:val="107"/>
        <w:rPr>
          <w:rFonts w:hint="default"/>
          <w:b/>
          <w:bCs/>
          <w:lang w:val="en-US"/>
        </w:rPr>
      </w:pPr>
      <w:r>
        <w:rPr>
          <w:rFonts w:hint="default"/>
          <w:b/>
          <w:bCs/>
          <w:lang w:val="en-US"/>
        </w:rPr>
        <w:t xml:space="preserve">Observation </w:t>
      </w:r>
      <w:r>
        <w:rPr>
          <w:rFonts w:hint="eastAsia" w:eastAsia="宋体"/>
          <w:b/>
          <w:bCs/>
          <w:lang w:val="en-US" w:eastAsia="zh-CN"/>
        </w:rPr>
        <w:t>2</w:t>
      </w:r>
      <w:r>
        <w:rPr>
          <w:rFonts w:hint="default"/>
          <w:b/>
          <w:bCs/>
          <w:lang w:val="en-US"/>
        </w:rPr>
        <w:t xml:space="preserve">: Based on RAN3 definition, the presences of the Area Scope IE in LTE QoE and NR QoE are not same. </w:t>
      </w:r>
    </w:p>
    <w:p>
      <w:pPr>
        <w:pStyle w:val="107"/>
        <w:rPr>
          <w:rFonts w:hint="default" w:eastAsia="宋体"/>
          <w:b/>
          <w:bCs/>
          <w:lang w:val="en-US" w:eastAsia="zh-CN"/>
        </w:rPr>
      </w:pPr>
      <w:r>
        <w:rPr>
          <w:rFonts w:hint="default" w:eastAsia="宋体"/>
          <w:b/>
          <w:bCs/>
          <w:lang w:val="en-US" w:eastAsia="zh-CN"/>
        </w:rPr>
        <w:t>Proposal 1: The presence of the Area Scope IE for LTE QoE shall be corrected to optional in both S1AP and X2AP.</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124"/>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35F2"/>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2E3609"/>
    <w:rsid w:val="01653004"/>
    <w:rsid w:val="020D7E03"/>
    <w:rsid w:val="02272685"/>
    <w:rsid w:val="034F5AF3"/>
    <w:rsid w:val="049A7BAD"/>
    <w:rsid w:val="04F94A80"/>
    <w:rsid w:val="055F46CE"/>
    <w:rsid w:val="06152078"/>
    <w:rsid w:val="063759BB"/>
    <w:rsid w:val="065A0D6E"/>
    <w:rsid w:val="07F2385B"/>
    <w:rsid w:val="088B03FC"/>
    <w:rsid w:val="093D2612"/>
    <w:rsid w:val="0AC125B6"/>
    <w:rsid w:val="0AC14271"/>
    <w:rsid w:val="0AE746A6"/>
    <w:rsid w:val="0B341F9C"/>
    <w:rsid w:val="0CCB44F5"/>
    <w:rsid w:val="0CDF7A6D"/>
    <w:rsid w:val="0D716D9F"/>
    <w:rsid w:val="0EA327A8"/>
    <w:rsid w:val="0EAD0452"/>
    <w:rsid w:val="0EBA0999"/>
    <w:rsid w:val="0F08776F"/>
    <w:rsid w:val="0F3E6073"/>
    <w:rsid w:val="107412C9"/>
    <w:rsid w:val="11455009"/>
    <w:rsid w:val="1209234A"/>
    <w:rsid w:val="12C64EA6"/>
    <w:rsid w:val="134F24D4"/>
    <w:rsid w:val="13B550CC"/>
    <w:rsid w:val="14C60373"/>
    <w:rsid w:val="14CA2CA9"/>
    <w:rsid w:val="15104C0D"/>
    <w:rsid w:val="15E34DA4"/>
    <w:rsid w:val="1640799E"/>
    <w:rsid w:val="16BE63F9"/>
    <w:rsid w:val="173A1F4A"/>
    <w:rsid w:val="177669FC"/>
    <w:rsid w:val="18140037"/>
    <w:rsid w:val="18337079"/>
    <w:rsid w:val="1848352B"/>
    <w:rsid w:val="19590C29"/>
    <w:rsid w:val="1A640B7F"/>
    <w:rsid w:val="1B28619E"/>
    <w:rsid w:val="1B49107A"/>
    <w:rsid w:val="1C0E0C49"/>
    <w:rsid w:val="1C905B32"/>
    <w:rsid w:val="1D60134A"/>
    <w:rsid w:val="1DD36DDC"/>
    <w:rsid w:val="1E2E17EB"/>
    <w:rsid w:val="1E7239B2"/>
    <w:rsid w:val="1E90698D"/>
    <w:rsid w:val="1EBF048F"/>
    <w:rsid w:val="20A17B66"/>
    <w:rsid w:val="21B31EE0"/>
    <w:rsid w:val="21BB59A3"/>
    <w:rsid w:val="24247929"/>
    <w:rsid w:val="24966D7D"/>
    <w:rsid w:val="249A60C5"/>
    <w:rsid w:val="24A71C46"/>
    <w:rsid w:val="25F35C92"/>
    <w:rsid w:val="28284E31"/>
    <w:rsid w:val="28465834"/>
    <w:rsid w:val="284F75B3"/>
    <w:rsid w:val="29634717"/>
    <w:rsid w:val="29687A2D"/>
    <w:rsid w:val="29F97CC3"/>
    <w:rsid w:val="2B2F7CCB"/>
    <w:rsid w:val="2B325279"/>
    <w:rsid w:val="2C130CB3"/>
    <w:rsid w:val="2CCB1B0B"/>
    <w:rsid w:val="2D035320"/>
    <w:rsid w:val="2D1B5D17"/>
    <w:rsid w:val="2E536B0E"/>
    <w:rsid w:val="2E9E34CB"/>
    <w:rsid w:val="2F5640B8"/>
    <w:rsid w:val="2FD2373D"/>
    <w:rsid w:val="31394A63"/>
    <w:rsid w:val="318B491B"/>
    <w:rsid w:val="32B341AB"/>
    <w:rsid w:val="33967355"/>
    <w:rsid w:val="33CA4D39"/>
    <w:rsid w:val="34181B07"/>
    <w:rsid w:val="34A9093D"/>
    <w:rsid w:val="35557DAD"/>
    <w:rsid w:val="36253BD4"/>
    <w:rsid w:val="366342C3"/>
    <w:rsid w:val="368C5458"/>
    <w:rsid w:val="38080AFC"/>
    <w:rsid w:val="386E1304"/>
    <w:rsid w:val="38ED6BC1"/>
    <w:rsid w:val="393C5B0F"/>
    <w:rsid w:val="3AF63257"/>
    <w:rsid w:val="3B3E6C37"/>
    <w:rsid w:val="3B604739"/>
    <w:rsid w:val="3B70192C"/>
    <w:rsid w:val="3BA44D1B"/>
    <w:rsid w:val="3BAB6697"/>
    <w:rsid w:val="3BF0437B"/>
    <w:rsid w:val="3CAB6F30"/>
    <w:rsid w:val="3D0F0754"/>
    <w:rsid w:val="3E014F0A"/>
    <w:rsid w:val="3E0672BB"/>
    <w:rsid w:val="3E4073AC"/>
    <w:rsid w:val="3E7C7F3A"/>
    <w:rsid w:val="40141A04"/>
    <w:rsid w:val="404506D4"/>
    <w:rsid w:val="40513863"/>
    <w:rsid w:val="40F21C34"/>
    <w:rsid w:val="41577192"/>
    <w:rsid w:val="4166378B"/>
    <w:rsid w:val="41A65EA3"/>
    <w:rsid w:val="42913C77"/>
    <w:rsid w:val="436B29C5"/>
    <w:rsid w:val="4444064C"/>
    <w:rsid w:val="44801B2A"/>
    <w:rsid w:val="44BE5B41"/>
    <w:rsid w:val="45371070"/>
    <w:rsid w:val="46111146"/>
    <w:rsid w:val="47033608"/>
    <w:rsid w:val="477C57F9"/>
    <w:rsid w:val="477E17FB"/>
    <w:rsid w:val="483F782C"/>
    <w:rsid w:val="48442A15"/>
    <w:rsid w:val="48C869B9"/>
    <w:rsid w:val="48D56DA1"/>
    <w:rsid w:val="48F50D25"/>
    <w:rsid w:val="4AEB7516"/>
    <w:rsid w:val="4BD934A4"/>
    <w:rsid w:val="4BED3EAE"/>
    <w:rsid w:val="4C102385"/>
    <w:rsid w:val="4C246517"/>
    <w:rsid w:val="4C8F4A1D"/>
    <w:rsid w:val="4CB751DC"/>
    <w:rsid w:val="4D295A36"/>
    <w:rsid w:val="4D3A3960"/>
    <w:rsid w:val="4DD20B0C"/>
    <w:rsid w:val="4DEB3CA6"/>
    <w:rsid w:val="4E292F07"/>
    <w:rsid w:val="4E7E4EDA"/>
    <w:rsid w:val="4EBE7A2F"/>
    <w:rsid w:val="4EE807D8"/>
    <w:rsid w:val="4F1103F1"/>
    <w:rsid w:val="5024694A"/>
    <w:rsid w:val="505C37E2"/>
    <w:rsid w:val="5143338A"/>
    <w:rsid w:val="5227499A"/>
    <w:rsid w:val="535C7E27"/>
    <w:rsid w:val="53B71CB1"/>
    <w:rsid w:val="53D0459E"/>
    <w:rsid w:val="552B0F55"/>
    <w:rsid w:val="5574112A"/>
    <w:rsid w:val="55B800FD"/>
    <w:rsid w:val="55D8044D"/>
    <w:rsid w:val="574A2641"/>
    <w:rsid w:val="577B778A"/>
    <w:rsid w:val="585F74FA"/>
    <w:rsid w:val="58C71F4B"/>
    <w:rsid w:val="5AA11824"/>
    <w:rsid w:val="5ACF0E87"/>
    <w:rsid w:val="5B142131"/>
    <w:rsid w:val="5B2D6B16"/>
    <w:rsid w:val="5B5B76ED"/>
    <w:rsid w:val="5B6900FF"/>
    <w:rsid w:val="5D394BA9"/>
    <w:rsid w:val="5ECB499B"/>
    <w:rsid w:val="5EEE0B96"/>
    <w:rsid w:val="5F002FAA"/>
    <w:rsid w:val="5F170D63"/>
    <w:rsid w:val="5F4B385F"/>
    <w:rsid w:val="624B5FBC"/>
    <w:rsid w:val="626D7008"/>
    <w:rsid w:val="63035A96"/>
    <w:rsid w:val="63346CC0"/>
    <w:rsid w:val="63AA1258"/>
    <w:rsid w:val="64E54B91"/>
    <w:rsid w:val="64EB0AAB"/>
    <w:rsid w:val="65173B42"/>
    <w:rsid w:val="652362F6"/>
    <w:rsid w:val="654B6A35"/>
    <w:rsid w:val="657A1BE0"/>
    <w:rsid w:val="66C85BA3"/>
    <w:rsid w:val="67216CA3"/>
    <w:rsid w:val="67AA0963"/>
    <w:rsid w:val="67B00136"/>
    <w:rsid w:val="67B204E2"/>
    <w:rsid w:val="68E75D09"/>
    <w:rsid w:val="6A074617"/>
    <w:rsid w:val="6BC2757D"/>
    <w:rsid w:val="6C1446DA"/>
    <w:rsid w:val="6CCE0AA0"/>
    <w:rsid w:val="6CE7199A"/>
    <w:rsid w:val="6D5448FD"/>
    <w:rsid w:val="6E7175AA"/>
    <w:rsid w:val="6EB948CF"/>
    <w:rsid w:val="6ED33887"/>
    <w:rsid w:val="70020621"/>
    <w:rsid w:val="70021DA4"/>
    <w:rsid w:val="70323E75"/>
    <w:rsid w:val="711D2FE5"/>
    <w:rsid w:val="714629B6"/>
    <w:rsid w:val="716B7100"/>
    <w:rsid w:val="71886181"/>
    <w:rsid w:val="72083A21"/>
    <w:rsid w:val="72886C5B"/>
    <w:rsid w:val="72C3358F"/>
    <w:rsid w:val="73132D6B"/>
    <w:rsid w:val="73FC2165"/>
    <w:rsid w:val="75064250"/>
    <w:rsid w:val="75681CAA"/>
    <w:rsid w:val="76231FA7"/>
    <w:rsid w:val="76496E74"/>
    <w:rsid w:val="7651666D"/>
    <w:rsid w:val="76837E11"/>
    <w:rsid w:val="76A04A43"/>
    <w:rsid w:val="76A91911"/>
    <w:rsid w:val="76C058AD"/>
    <w:rsid w:val="77286809"/>
    <w:rsid w:val="774D398D"/>
    <w:rsid w:val="77ED395F"/>
    <w:rsid w:val="78585308"/>
    <w:rsid w:val="7865353F"/>
    <w:rsid w:val="788A3415"/>
    <w:rsid w:val="78F65E7C"/>
    <w:rsid w:val="7947312D"/>
    <w:rsid w:val="7A0B4F65"/>
    <w:rsid w:val="7A105E95"/>
    <w:rsid w:val="7A335E9D"/>
    <w:rsid w:val="7AAA7A71"/>
    <w:rsid w:val="7AB8699D"/>
    <w:rsid w:val="7B8959A8"/>
    <w:rsid w:val="7C0A0AF2"/>
    <w:rsid w:val="7E18645E"/>
    <w:rsid w:val="7E57221F"/>
    <w:rsid w:val="7E5A5580"/>
    <w:rsid w:val="7E637DAD"/>
    <w:rsid w:val="7F2251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51"/>
    <w:qFormat/>
    <w:uiPriority w:val="0"/>
    <w:pPr>
      <w:shd w:val="clear" w:color="auto" w:fill="000080"/>
    </w:pPr>
    <w:rPr>
      <w:rFonts w:ascii="Tahoma" w:hAnsi="Tahoma" w:cs="Tahoma"/>
    </w:rPr>
  </w:style>
  <w:style w:type="paragraph" w:styleId="29">
    <w:name w:val="annotation text"/>
    <w:basedOn w:val="1"/>
    <w:link w:val="5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3"/>
    <w:qFormat/>
    <w:uiPriority w:val="0"/>
    <w:rPr>
      <w:rFonts w:ascii="Tahoma" w:hAnsi="Tahoma" w:cs="Tahoma"/>
      <w:sz w:val="16"/>
      <w:szCs w:val="16"/>
    </w:rPr>
  </w:style>
  <w:style w:type="paragraph" w:styleId="33">
    <w:name w:val="footer"/>
    <w:basedOn w:val="34"/>
    <w:link w:val="55"/>
    <w:qFormat/>
    <w:uiPriority w:val="0"/>
    <w:pPr>
      <w:jc w:val="center"/>
    </w:pPr>
    <w:rPr>
      <w:i/>
    </w:rPr>
  </w:style>
  <w:style w:type="paragraph" w:styleId="34">
    <w:name w:val="header"/>
    <w:link w:val="54"/>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56"/>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57"/>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Heading 3 Char"/>
    <w:link w:val="4"/>
    <w:qFormat/>
    <w:uiPriority w:val="0"/>
    <w:rPr>
      <w:rFonts w:ascii="Arial" w:hAnsi="Arial"/>
      <w:sz w:val="28"/>
      <w:lang w:val="en-GB"/>
    </w:rPr>
  </w:style>
  <w:style w:type="character" w:customStyle="1" w:styleId="49">
    <w:name w:val="Heading 4 Char"/>
    <w:link w:val="5"/>
    <w:qFormat/>
    <w:uiPriority w:val="0"/>
    <w:rPr>
      <w:rFonts w:ascii="Arial" w:hAnsi="Arial"/>
      <w:sz w:val="24"/>
      <w:lang w:val="en-GB"/>
    </w:rPr>
  </w:style>
  <w:style w:type="character" w:customStyle="1" w:styleId="50">
    <w:name w:val="Heading 6 Char"/>
    <w:link w:val="7"/>
    <w:qFormat/>
    <w:uiPriority w:val="0"/>
    <w:rPr>
      <w:rFonts w:ascii="Arial" w:hAnsi="Arial"/>
      <w:lang w:val="en-GB"/>
    </w:rPr>
  </w:style>
  <w:style w:type="character" w:customStyle="1" w:styleId="51">
    <w:name w:val="Document Map Char"/>
    <w:link w:val="28"/>
    <w:qFormat/>
    <w:uiPriority w:val="0"/>
    <w:rPr>
      <w:rFonts w:ascii="Tahoma" w:hAnsi="Tahoma" w:cs="Tahoma"/>
      <w:shd w:val="clear" w:color="auto" w:fill="000080"/>
      <w:lang w:val="en-GB"/>
    </w:rPr>
  </w:style>
  <w:style w:type="character" w:customStyle="1" w:styleId="52">
    <w:name w:val="Comment Text Char"/>
    <w:link w:val="29"/>
    <w:uiPriority w:val="0"/>
    <w:rPr>
      <w:rFonts w:ascii="Times New Roman" w:hAnsi="Times New Roman"/>
      <w:lang w:val="en-GB"/>
    </w:rPr>
  </w:style>
  <w:style w:type="character" w:customStyle="1" w:styleId="53">
    <w:name w:val="Balloon Text Char"/>
    <w:link w:val="32"/>
    <w:qFormat/>
    <w:uiPriority w:val="0"/>
    <w:rPr>
      <w:rFonts w:ascii="Tahoma" w:hAnsi="Tahoma" w:cs="Tahoma"/>
      <w:sz w:val="16"/>
      <w:szCs w:val="16"/>
      <w:lang w:val="en-GB"/>
    </w:rPr>
  </w:style>
  <w:style w:type="character" w:customStyle="1" w:styleId="54">
    <w:name w:val="Header Char"/>
    <w:link w:val="34"/>
    <w:qFormat/>
    <w:uiPriority w:val="0"/>
    <w:rPr>
      <w:rFonts w:ascii="Arial" w:hAnsi="Arial"/>
      <w:b/>
      <w:sz w:val="18"/>
      <w:lang w:eastAsia="en-US"/>
    </w:rPr>
  </w:style>
  <w:style w:type="character" w:customStyle="1" w:styleId="55">
    <w:name w:val="Footer Char"/>
    <w:link w:val="33"/>
    <w:qFormat/>
    <w:uiPriority w:val="0"/>
    <w:rPr>
      <w:rFonts w:ascii="Arial" w:hAnsi="Arial"/>
      <w:b/>
      <w:i/>
      <w:sz w:val="18"/>
      <w:lang w:val="en-GB"/>
    </w:rPr>
  </w:style>
  <w:style w:type="character" w:customStyle="1" w:styleId="56">
    <w:name w:val="Footnote Text Char"/>
    <w:link w:val="35"/>
    <w:qFormat/>
    <w:uiPriority w:val="0"/>
    <w:rPr>
      <w:rFonts w:ascii="Times New Roman" w:hAnsi="Times New Roman"/>
      <w:sz w:val="16"/>
      <w:lang w:val="en-GB"/>
    </w:rPr>
  </w:style>
  <w:style w:type="character" w:customStyle="1" w:styleId="57">
    <w:name w:val="Comment Subject Char"/>
    <w:link w:val="41"/>
    <w:qFormat/>
    <w:uiPriority w:val="0"/>
    <w:rPr>
      <w:rFonts w:ascii="Times New Roman" w:hAnsi="Times New Roman"/>
      <w:b/>
      <w:bCs/>
      <w:lang w:val="en-GB"/>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T"/>
    <w:basedOn w:val="2"/>
    <w:next w:val="1"/>
    <w:qFormat/>
    <w:uiPriority w:val="0"/>
    <w:pPr>
      <w:outlineLvl w:val="9"/>
    </w:pPr>
  </w:style>
  <w:style w:type="paragraph" w:customStyle="1" w:styleId="61">
    <w:name w:val="TAH"/>
    <w:basedOn w:val="62"/>
    <w:link w:val="66"/>
    <w:qFormat/>
    <w:uiPriority w:val="0"/>
    <w:rPr>
      <w:b/>
    </w:rPr>
  </w:style>
  <w:style w:type="paragraph" w:customStyle="1" w:styleId="62">
    <w:name w:val="TAC"/>
    <w:basedOn w:val="63"/>
    <w:link w:val="65"/>
    <w:qFormat/>
    <w:uiPriority w:val="0"/>
    <w:pPr>
      <w:jc w:val="center"/>
    </w:pPr>
  </w:style>
  <w:style w:type="paragraph" w:customStyle="1" w:styleId="63">
    <w:name w:val="TAL"/>
    <w:basedOn w:val="1"/>
    <w:link w:val="64"/>
    <w:qFormat/>
    <w:uiPriority w:val="0"/>
    <w:pPr>
      <w:keepNext/>
      <w:keepLines/>
      <w:spacing w:after="0"/>
    </w:pPr>
    <w:rPr>
      <w:rFonts w:ascii="Arial" w:hAnsi="Arial"/>
      <w:sz w:val="18"/>
    </w:rPr>
  </w:style>
  <w:style w:type="character" w:customStyle="1" w:styleId="64">
    <w:name w:val="TAL Char"/>
    <w:link w:val="63"/>
    <w:qFormat/>
    <w:uiPriority w:val="0"/>
    <w:rPr>
      <w:rFonts w:ascii="Arial" w:hAnsi="Arial"/>
      <w:sz w:val="18"/>
      <w:lang w:val="en-GB"/>
    </w:rPr>
  </w:style>
  <w:style w:type="character" w:customStyle="1" w:styleId="65">
    <w:name w:val="TAC Char"/>
    <w:link w:val="62"/>
    <w:uiPriority w:val="0"/>
    <w:rPr>
      <w:rFonts w:ascii="Arial" w:hAnsi="Arial"/>
      <w:sz w:val="18"/>
      <w:lang w:val="en-GB"/>
    </w:rPr>
  </w:style>
  <w:style w:type="character" w:customStyle="1" w:styleId="66">
    <w:name w:val="TAH Char"/>
    <w:link w:val="61"/>
    <w:qFormat/>
    <w:uiPriority w:val="0"/>
    <w:rPr>
      <w:rFonts w:ascii="Arial" w:hAnsi="Arial"/>
      <w:b/>
      <w:sz w:val="18"/>
      <w:lang w:val="en-GB"/>
    </w:rPr>
  </w:style>
  <w:style w:type="paragraph" w:customStyle="1" w:styleId="67">
    <w:name w:val="TF"/>
    <w:basedOn w:val="68"/>
    <w:link w:val="70"/>
    <w:qFormat/>
    <w:uiPriority w:val="0"/>
    <w:pPr>
      <w:keepNext w:val="0"/>
      <w:spacing w:before="0" w:after="240"/>
    </w:p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b/>
      <w:lang w:val="en-GB"/>
    </w:rPr>
  </w:style>
  <w:style w:type="character" w:customStyle="1" w:styleId="70">
    <w:name w:val="TF Char"/>
    <w:link w:val="67"/>
    <w:qFormat/>
    <w:uiPriority w:val="0"/>
    <w:rPr>
      <w:rFonts w:ascii="Arial" w:hAnsi="Arial"/>
      <w:b/>
      <w:lang w:val="en-GB"/>
    </w:rPr>
  </w:style>
  <w:style w:type="paragraph" w:customStyle="1" w:styleId="71">
    <w:name w:val="NO"/>
    <w:basedOn w:val="1"/>
    <w:link w:val="72"/>
    <w:qFormat/>
    <w:uiPriority w:val="0"/>
    <w:pPr>
      <w:keepLines/>
      <w:ind w:left="1135" w:hanging="851"/>
    </w:pPr>
  </w:style>
  <w:style w:type="character" w:customStyle="1" w:styleId="72">
    <w:name w:val="NO Char"/>
    <w:link w:val="71"/>
    <w:qFormat/>
    <w:uiPriority w:val="0"/>
    <w:rPr>
      <w:rFonts w:ascii="Times New Roman" w:hAnsi="Times New Roman"/>
      <w:lang w:val="en-GB"/>
    </w:rPr>
  </w:style>
  <w:style w:type="paragraph" w:customStyle="1" w:styleId="73">
    <w:name w:val="EX"/>
    <w:basedOn w:val="1"/>
    <w:link w:val="74"/>
    <w:qFormat/>
    <w:uiPriority w:val="0"/>
    <w:pPr>
      <w:keepLines/>
      <w:ind w:left="1702" w:hanging="1418"/>
    </w:pPr>
  </w:style>
  <w:style w:type="character" w:customStyle="1" w:styleId="74">
    <w:name w:val="EX Char"/>
    <w:link w:val="73"/>
    <w:qFormat/>
    <w:locked/>
    <w:uiPriority w:val="0"/>
    <w:rPr>
      <w:rFonts w:ascii="Times New Roman" w:hAnsi="Times New Roman"/>
      <w:lang w:val="en-GB"/>
    </w:rPr>
  </w:style>
  <w:style w:type="paragraph" w:customStyle="1" w:styleId="75">
    <w:name w:val="FP"/>
    <w:basedOn w:val="1"/>
    <w:qFormat/>
    <w:uiPriority w:val="0"/>
    <w:pPr>
      <w:spacing w:after="0"/>
    </w:pPr>
  </w:style>
  <w:style w:type="paragraph" w:customStyle="1" w:styleId="7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7">
    <w:name w:val="NW"/>
    <w:basedOn w:val="71"/>
    <w:qFormat/>
    <w:uiPriority w:val="0"/>
    <w:pPr>
      <w:spacing w:after="0"/>
    </w:pPr>
  </w:style>
  <w:style w:type="paragraph" w:customStyle="1" w:styleId="78">
    <w:name w:val="EW"/>
    <w:basedOn w:val="73"/>
    <w:qFormat/>
    <w:uiPriority w:val="0"/>
    <w:pPr>
      <w:spacing w:after="0"/>
    </w:pPr>
  </w:style>
  <w:style w:type="paragraph" w:customStyle="1" w:styleId="79">
    <w:name w:val="EQ"/>
    <w:basedOn w:val="1"/>
    <w:next w:val="1"/>
    <w:qFormat/>
    <w:uiPriority w:val="0"/>
    <w:pPr>
      <w:keepLines/>
      <w:tabs>
        <w:tab w:val="center" w:pos="4536"/>
        <w:tab w:val="right" w:pos="9072"/>
      </w:tabs>
    </w:pPr>
  </w:style>
  <w:style w:type="paragraph" w:customStyle="1" w:styleId="80">
    <w:name w:val="NF"/>
    <w:basedOn w:val="71"/>
    <w:qFormat/>
    <w:uiPriority w:val="0"/>
    <w:pPr>
      <w:keepNext/>
      <w:spacing w:after="0"/>
    </w:pPr>
    <w:rPr>
      <w:rFonts w:ascii="Arial" w:hAnsi="Arial"/>
      <w:sz w:val="18"/>
    </w:rPr>
  </w:style>
  <w:style w:type="paragraph" w:customStyle="1" w:styleId="81">
    <w:name w:val="PL"/>
    <w:link w:val="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2">
    <w:name w:val="PL Char"/>
    <w:link w:val="81"/>
    <w:qFormat/>
    <w:uiPriority w:val="0"/>
    <w:rPr>
      <w:rFonts w:ascii="Courier New" w:hAnsi="Courier New"/>
      <w:sz w:val="16"/>
      <w:lang w:val="en-GB"/>
    </w:rPr>
  </w:style>
  <w:style w:type="paragraph" w:customStyle="1" w:styleId="83">
    <w:name w:val="TAR"/>
    <w:basedOn w:val="63"/>
    <w:qFormat/>
    <w:uiPriority w:val="0"/>
    <w:pPr>
      <w:jc w:val="right"/>
    </w:pPr>
  </w:style>
  <w:style w:type="paragraph" w:customStyle="1" w:styleId="84">
    <w:name w:val="TAN"/>
    <w:basedOn w:val="63"/>
    <w:qFormat/>
    <w:uiPriority w:val="0"/>
    <w:pPr>
      <w:ind w:left="851" w:hanging="851"/>
    </w:pPr>
  </w:style>
  <w:style w:type="paragraph" w:customStyle="1" w:styleId="8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9">
    <w:name w:val="ZV"/>
    <w:basedOn w:val="88"/>
    <w:qFormat/>
    <w:uiPriority w:val="0"/>
    <w:pPr>
      <w:framePr w:y="16161"/>
    </w:pPr>
  </w:style>
  <w:style w:type="character" w:customStyle="1" w:styleId="90">
    <w:name w:val="ZGSM"/>
    <w:qFormat/>
    <w:uiPriority w:val="0"/>
  </w:style>
  <w:style w:type="paragraph" w:customStyle="1" w:styleId="9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2">
    <w:name w:val="Editor's Note"/>
    <w:basedOn w:val="71"/>
    <w:link w:val="93"/>
    <w:qFormat/>
    <w:uiPriority w:val="0"/>
    <w:rPr>
      <w:color w:val="FF0000"/>
    </w:rPr>
  </w:style>
  <w:style w:type="character" w:customStyle="1" w:styleId="93">
    <w:name w:val="Editor's Note Char"/>
    <w:link w:val="92"/>
    <w:qFormat/>
    <w:uiPriority w:val="0"/>
    <w:rPr>
      <w:rFonts w:ascii="Times New Roman" w:hAnsi="Times New Roman"/>
      <w:color w:val="FF0000"/>
      <w:lang w:val="en-GB"/>
    </w:rPr>
  </w:style>
  <w:style w:type="paragraph" w:customStyle="1" w:styleId="94">
    <w:name w:val="B1"/>
    <w:basedOn w:val="14"/>
    <w:link w:val="95"/>
    <w:qFormat/>
    <w:uiPriority w:val="0"/>
  </w:style>
  <w:style w:type="character" w:customStyle="1" w:styleId="95">
    <w:name w:val="B1 Char"/>
    <w:link w:val="94"/>
    <w:qFormat/>
    <w:uiPriority w:val="0"/>
    <w:rPr>
      <w:rFonts w:ascii="Times New Roman" w:hAnsi="Times New Roman"/>
      <w:lang w:val="en-GB"/>
    </w:rPr>
  </w:style>
  <w:style w:type="paragraph" w:customStyle="1" w:styleId="96">
    <w:name w:val="B2"/>
    <w:basedOn w:val="13"/>
    <w:link w:val="97"/>
    <w:qFormat/>
    <w:uiPriority w:val="0"/>
  </w:style>
  <w:style w:type="character" w:customStyle="1" w:styleId="97">
    <w:name w:val="B2 Char"/>
    <w:link w:val="96"/>
    <w:qFormat/>
    <w:uiPriority w:val="0"/>
    <w:rPr>
      <w:rFonts w:ascii="Times New Roman" w:hAnsi="Times New Roman"/>
      <w:lang w:val="en-GB"/>
    </w:rPr>
  </w:style>
  <w:style w:type="paragraph" w:customStyle="1" w:styleId="98">
    <w:name w:val="B3"/>
    <w:basedOn w:val="12"/>
    <w:link w:val="99"/>
    <w:qFormat/>
    <w:uiPriority w:val="0"/>
  </w:style>
  <w:style w:type="character" w:customStyle="1" w:styleId="99">
    <w:name w:val="B3 Char"/>
    <w:link w:val="98"/>
    <w:qFormat/>
    <w:uiPriority w:val="0"/>
    <w:rPr>
      <w:rFonts w:ascii="Times New Roman" w:hAnsi="Times New Roman"/>
      <w:lang w:val="en-GB"/>
    </w:rPr>
  </w:style>
  <w:style w:type="paragraph" w:customStyle="1" w:styleId="100">
    <w:name w:val="B4"/>
    <w:basedOn w:val="37"/>
    <w:qFormat/>
    <w:uiPriority w:val="0"/>
  </w:style>
  <w:style w:type="paragraph" w:customStyle="1" w:styleId="101">
    <w:name w:val="B5"/>
    <w:basedOn w:val="36"/>
    <w:qFormat/>
    <w:uiPriority w:val="0"/>
  </w:style>
  <w:style w:type="paragraph" w:customStyle="1" w:styleId="102">
    <w:name w:val="ZTD"/>
    <w:basedOn w:val="86"/>
    <w:qFormat/>
    <w:uiPriority w:val="0"/>
    <w:pPr>
      <w:framePr w:hRule="auto" w:y="852"/>
    </w:pPr>
    <w:rPr>
      <w:i w:val="0"/>
      <w:sz w:val="40"/>
    </w:rPr>
  </w:style>
  <w:style w:type="paragraph" w:customStyle="1" w:styleId="103">
    <w:name w:val="CR Cover Page"/>
    <w:qFormat/>
    <w:uiPriority w:val="0"/>
    <w:pPr>
      <w:spacing w:after="120"/>
    </w:pPr>
    <w:rPr>
      <w:rFonts w:ascii="Arial" w:hAnsi="Arial" w:eastAsia="Times New Roman" w:cs="Times New Roman"/>
      <w:lang w:val="en-GB" w:eastAsia="en-US" w:bidi="ar-SA"/>
    </w:rPr>
  </w:style>
  <w:style w:type="paragraph" w:customStyle="1" w:styleId="104">
    <w:name w:val="tdoc-header"/>
    <w:qFormat/>
    <w:uiPriority w:val="0"/>
    <w:rPr>
      <w:rFonts w:ascii="Arial" w:hAnsi="Arial" w:eastAsia="Times New Roman" w:cs="Times New Roman"/>
      <w:sz w:val="24"/>
      <w:lang w:val="en-GB" w:eastAsia="en-US" w:bidi="ar-SA"/>
    </w:rPr>
  </w:style>
  <w:style w:type="paragraph" w:customStyle="1" w:styleId="105">
    <w:name w:val="First Change"/>
    <w:basedOn w:val="1"/>
    <w:qFormat/>
    <w:uiPriority w:val="0"/>
    <w:pPr>
      <w:jc w:val="center"/>
    </w:pPr>
    <w:rPr>
      <w:color w:val="FF0000"/>
    </w:rPr>
  </w:style>
  <w:style w:type="paragraph" w:customStyle="1" w:styleId="106">
    <w:name w:val="a"/>
    <w:basedOn w:val="103"/>
    <w:qFormat/>
    <w:uiPriority w:val="0"/>
    <w:pPr>
      <w:tabs>
        <w:tab w:val="left" w:pos="1985"/>
      </w:tabs>
    </w:pPr>
    <w:rPr>
      <w:rFonts w:cs="Arial"/>
      <w:b/>
      <w:bCs/>
      <w:color w:val="000000"/>
      <w:sz w:val="24"/>
      <w:szCs w:val="24"/>
      <w:lang w:val="en-US"/>
    </w:rPr>
  </w:style>
  <w:style w:type="paragraph" w:customStyle="1" w:styleId="107">
    <w:name w:val="Discussion"/>
    <w:basedOn w:val="1"/>
    <w:qFormat/>
    <w:uiPriority w:val="0"/>
    <w:rPr>
      <w:rFonts w:ascii="Arial" w:hAnsi="Arial" w:cs="Arial"/>
    </w:rPr>
  </w:style>
  <w:style w:type="paragraph" w:customStyle="1" w:styleId="108">
    <w:name w:val="TAJ"/>
    <w:basedOn w:val="68"/>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Revision"/>
    <w:semiHidden/>
    <w:qFormat/>
    <w:uiPriority w:val="99"/>
    <w:rPr>
      <w:rFonts w:ascii="Times New Roman" w:hAnsi="Times New Roman" w:eastAsia="Times New Roman" w:cs="Times New Roman"/>
      <w:lang w:val="en-GB" w:eastAsia="en-US" w:bidi="ar-SA"/>
    </w:rPr>
  </w:style>
  <w:style w:type="character" w:customStyle="1" w:styleId="111">
    <w:name w:val="Mention"/>
    <w:unhideWhenUsed/>
    <w:qFormat/>
    <w:uiPriority w:val="99"/>
    <w:rPr>
      <w:color w:val="2B579A"/>
      <w:shd w:val="clear" w:color="auto" w:fill="E6E6E6"/>
    </w:rPr>
  </w:style>
  <w:style w:type="paragraph" w:customStyle="1" w:styleId="112">
    <w:name w:val="Discusson B1"/>
    <w:basedOn w:val="107"/>
    <w:qFormat/>
    <w:uiPriority w:val="0"/>
    <w:pPr>
      <w:ind w:left="567" w:hanging="283"/>
    </w:pPr>
  </w:style>
  <w:style w:type="paragraph" w:customStyle="1" w:styleId="113">
    <w:name w:val="Discussion B2"/>
    <w:basedOn w:val="112"/>
    <w:qFormat/>
    <w:uiPriority w:val="0"/>
    <w:pPr>
      <w:ind w:left="851"/>
    </w:pPr>
  </w:style>
  <w:style w:type="character" w:customStyle="1" w:styleId="114">
    <w:name w:val="Unresolved Mention"/>
    <w:basedOn w:val="43"/>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260</Words>
  <Characters>1487</Characters>
  <Lines>12</Lines>
  <Paragraphs>3</Paragraphs>
  <TotalTime>4</TotalTime>
  <ScaleCrop>false</ScaleCrop>
  <LinksUpToDate>false</LinksUpToDate>
  <CharactersWithSpaces>1744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2023-05-25T08:03:00Z</dcterms:created>
  <dc:creator>Michael Sanders, John M Meredith</dc:creator>
  <cp:lastModifiedBy>ZTE</cp:lastModifiedBy>
  <cp:lastPrinted>2411-12-31T23:00:00Z</cp:lastPrinted>
  <dcterms:modified xsi:type="dcterms:W3CDTF">2023-11-03T05:15:02Z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